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0" w:rsidRDefault="000B3290"/>
    <w:p w:rsidR="002F655A" w:rsidRDefault="002F655A"/>
    <w:p w:rsidR="002F655A" w:rsidRPr="002F655A" w:rsidRDefault="002F655A" w:rsidP="002F65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55A">
        <w:rPr>
          <w:rFonts w:ascii="Times New Roman" w:hAnsi="Times New Roman" w:cs="Times New Roman"/>
          <w:b/>
          <w:color w:val="FF0000"/>
          <w:sz w:val="28"/>
          <w:szCs w:val="28"/>
        </w:rPr>
        <w:t>Правила подачи и рассмотрения апелляций по результатам отбора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Законные представители поступающих вправе подать апелляцию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свободной форме)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, подавшие апелляцию.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2F655A" w:rsidRDefault="002F655A" w:rsidP="002F65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Подача апелляции по процедуре проведения повторного индивидуального отбора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не допускается.</w:t>
      </w:r>
    </w:p>
    <w:p w:rsidR="002F655A" w:rsidRDefault="002F655A"/>
    <w:sectPr w:rsidR="002F655A" w:rsidSect="000B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655A"/>
    <w:rsid w:val="000B3290"/>
    <w:rsid w:val="002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2018-10-19T08:40:00Z</dcterms:created>
  <dcterms:modified xsi:type="dcterms:W3CDTF">2018-10-19T08:43:00Z</dcterms:modified>
</cp:coreProperties>
</file>